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47" w:rsidRDefault="00790847" w:rsidP="00FF2AB2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9"/>
        <w:gridCol w:w="703"/>
        <w:gridCol w:w="4790"/>
        <w:gridCol w:w="134"/>
        <w:gridCol w:w="1880"/>
      </w:tblGrid>
      <w:tr w:rsidR="00790847" w:rsidRPr="008A6437" w:rsidTr="00371808">
        <w:trPr>
          <w:trHeight w:val="520"/>
          <w:jc w:val="center"/>
        </w:trPr>
        <w:tc>
          <w:tcPr>
            <w:tcW w:w="9356" w:type="dxa"/>
            <w:gridSpan w:val="5"/>
            <w:vAlign w:val="center"/>
          </w:tcPr>
          <w:p w:rsidR="00790847" w:rsidRPr="008A6437" w:rsidRDefault="00790847" w:rsidP="00666078">
            <w:pPr>
              <w:jc w:val="center"/>
            </w:pPr>
            <w:r w:rsidRPr="008A6437">
              <w:t>TEST FORMATYWNY</w:t>
            </w:r>
          </w:p>
        </w:tc>
      </w:tr>
      <w:tr w:rsidR="00790847" w:rsidRPr="008A6437" w:rsidTr="00371808">
        <w:trPr>
          <w:jc w:val="center"/>
        </w:trPr>
        <w:tc>
          <w:tcPr>
            <w:tcW w:w="1849" w:type="dxa"/>
          </w:tcPr>
          <w:p w:rsidR="00790847" w:rsidRPr="008A6437" w:rsidRDefault="00790847" w:rsidP="00666078">
            <w:pPr>
              <w:rPr>
                <w:b/>
              </w:rPr>
            </w:pPr>
            <w:r w:rsidRPr="008A6437">
              <w:rPr>
                <w:b/>
              </w:rPr>
              <w:t>TYTUŁ TESTU</w:t>
            </w:r>
          </w:p>
        </w:tc>
        <w:tc>
          <w:tcPr>
            <w:tcW w:w="7507" w:type="dxa"/>
            <w:gridSpan w:val="4"/>
          </w:tcPr>
          <w:p w:rsidR="00790847" w:rsidRPr="005D4A79" w:rsidRDefault="00790847" w:rsidP="00666078">
            <w:r w:rsidRPr="005D4A79">
              <w:t>Reklama dźwignią handlu!</w:t>
            </w:r>
          </w:p>
        </w:tc>
      </w:tr>
      <w:tr w:rsidR="00790847" w:rsidRPr="008A6437" w:rsidTr="00371808">
        <w:trPr>
          <w:trHeight w:val="1085"/>
          <w:jc w:val="center"/>
        </w:trPr>
        <w:tc>
          <w:tcPr>
            <w:tcW w:w="1849" w:type="dxa"/>
            <w:vMerge w:val="restart"/>
          </w:tcPr>
          <w:p w:rsidR="00790847" w:rsidRPr="008A6437" w:rsidRDefault="00790847" w:rsidP="00666078">
            <w:r w:rsidRPr="008A6437">
              <w:rPr>
                <w:b/>
              </w:rPr>
              <w:t>PLAN TESTU</w:t>
            </w:r>
          </w:p>
          <w:p w:rsidR="00790847" w:rsidRPr="008A6437" w:rsidRDefault="00790847" w:rsidP="00666078"/>
        </w:tc>
        <w:tc>
          <w:tcPr>
            <w:tcW w:w="703" w:type="dxa"/>
            <w:vAlign w:val="center"/>
          </w:tcPr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NR ZAD.</w:t>
            </w:r>
          </w:p>
        </w:tc>
        <w:tc>
          <w:tcPr>
            <w:tcW w:w="4924" w:type="dxa"/>
            <w:gridSpan w:val="2"/>
            <w:vAlign w:val="center"/>
          </w:tcPr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SPRAWDZANA CZYNNOŚĆ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ODNIESIENIE </w:t>
            </w:r>
            <w:r w:rsidRPr="008A6437">
              <w:rPr>
                <w:rFonts w:ascii="Calibri" w:hAnsi="Calibri"/>
                <w:sz w:val="22"/>
                <w:szCs w:val="22"/>
              </w:rPr>
              <w:br/>
              <w:t xml:space="preserve">DO WYMAGAŃ </w:t>
            </w:r>
            <w:r w:rsidRPr="008A6437">
              <w:rPr>
                <w:rFonts w:ascii="Calibri" w:hAnsi="Calibri"/>
                <w:sz w:val="22"/>
                <w:szCs w:val="22"/>
              </w:rPr>
              <w:br/>
              <w:t>Z PODSTAWY PROGRAMOWEJ</w:t>
            </w:r>
          </w:p>
        </w:tc>
      </w:tr>
      <w:tr w:rsidR="00790847" w:rsidRPr="008A6437" w:rsidTr="00371808">
        <w:trPr>
          <w:trHeight w:val="865"/>
          <w:jc w:val="center"/>
        </w:trPr>
        <w:tc>
          <w:tcPr>
            <w:tcW w:w="1849" w:type="dxa"/>
            <w:vMerge/>
          </w:tcPr>
          <w:p w:rsidR="00790847" w:rsidRPr="008A6437" w:rsidRDefault="00790847" w:rsidP="00666078"/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4924" w:type="dxa"/>
            <w:gridSpan w:val="2"/>
          </w:tcPr>
          <w:p w:rsidR="0079084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Uczeń: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8A6437">
              <w:rPr>
                <w:rFonts w:ascii="Calibri" w:hAnsi="Calibri"/>
                <w:sz w:val="22"/>
                <w:szCs w:val="22"/>
              </w:rPr>
              <w:t>dbiera komunikaty pisane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8A6437">
              <w:rPr>
                <w:rFonts w:ascii="Calibri" w:hAnsi="Calibri"/>
                <w:sz w:val="22"/>
                <w:szCs w:val="22"/>
              </w:rPr>
              <w:t>zerpie dodatkowe informacje z przypisu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8A6437">
              <w:rPr>
                <w:rFonts w:ascii="Calibri" w:hAnsi="Calibri"/>
                <w:sz w:val="22"/>
                <w:szCs w:val="22"/>
              </w:rPr>
              <w:t>rzedstawia propozycję odczytania konkretnego tekstu kultury i uzasadnia ją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1880" w:type="dxa"/>
          </w:tcPr>
          <w:p w:rsidR="0079084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8A6437">
              <w:rPr>
                <w:rFonts w:ascii="Calibri" w:hAnsi="Calibri"/>
                <w:sz w:val="22"/>
                <w:szCs w:val="22"/>
              </w:rPr>
              <w:t>II.3.1.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0847" w:rsidRPr="008A6437" w:rsidTr="00371808">
        <w:trPr>
          <w:trHeight w:val="1293"/>
          <w:jc w:val="center"/>
        </w:trPr>
        <w:tc>
          <w:tcPr>
            <w:tcW w:w="1849" w:type="dxa"/>
            <w:vMerge/>
          </w:tcPr>
          <w:p w:rsidR="00790847" w:rsidRPr="008A6437" w:rsidRDefault="00790847" w:rsidP="00666078"/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924" w:type="dxa"/>
            <w:gridSpan w:val="2"/>
          </w:tcPr>
          <w:p w:rsidR="00790847" w:rsidRPr="008A6437" w:rsidRDefault="00790847" w:rsidP="00666078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8A6437">
              <w:rPr>
                <w:rFonts w:ascii="Calibri" w:hAnsi="Calibri"/>
                <w:sz w:val="22"/>
                <w:szCs w:val="22"/>
              </w:rPr>
              <w:t>dbiera komunikaty pisane, w tym nadawane za pomocą środków wizualnych – rozróżnia informacje przekazane werbalnie oraz zawarte w obrazie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ozpoznaje wypowiedzi o charakterze perswazyjnym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1880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I.1.6.</w:t>
            </w:r>
          </w:p>
        </w:tc>
      </w:tr>
      <w:tr w:rsidR="00790847" w:rsidRPr="008A6437" w:rsidTr="00371808">
        <w:trPr>
          <w:jc w:val="center"/>
        </w:trPr>
        <w:tc>
          <w:tcPr>
            <w:tcW w:w="1849" w:type="dxa"/>
            <w:vMerge/>
          </w:tcPr>
          <w:p w:rsidR="00790847" w:rsidRPr="008A6437" w:rsidRDefault="00790847" w:rsidP="00666078"/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924" w:type="dxa"/>
            <w:gridSpan w:val="2"/>
          </w:tcPr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ind w:hanging="62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8A6437">
              <w:rPr>
                <w:rFonts w:ascii="Calibri" w:hAnsi="Calibri"/>
                <w:sz w:val="22"/>
                <w:szCs w:val="22"/>
              </w:rPr>
              <w:t>dbiera komunikaty pisane, w tym nadawane za pomocą środków wizualnych – rozróżnia informacje przekazane werbalnie oraz zawarte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w obrazie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ozpoznaje intencje wypowiedzi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ozpoznaje wyrazy wieloznaczne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i rozumie ich znaczenia w tekście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ozpoznaje tryb rozkazujący czasownika - wyjaśnia jego funkcje w tekście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ozumie w komunikacie funkcje przymiotników i przysłówków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880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I.1.7.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I.3.2.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720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I.3.8. </w:t>
            </w:r>
          </w:p>
          <w:p w:rsidR="00790847" w:rsidRPr="008A6437" w:rsidRDefault="00790847" w:rsidP="00666078">
            <w:pPr>
              <w:ind w:left="360"/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 3.</w:t>
            </w:r>
          </w:p>
        </w:tc>
      </w:tr>
      <w:tr w:rsidR="00790847" w:rsidRPr="008A6437" w:rsidTr="00371808">
        <w:trPr>
          <w:trHeight w:val="415"/>
          <w:jc w:val="center"/>
        </w:trPr>
        <w:tc>
          <w:tcPr>
            <w:tcW w:w="1849" w:type="dxa"/>
            <w:vMerge/>
          </w:tcPr>
          <w:p w:rsidR="00790847" w:rsidRPr="008A6437" w:rsidRDefault="00790847" w:rsidP="00666078"/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924" w:type="dxa"/>
            <w:gridSpan w:val="2"/>
          </w:tcPr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8A6437">
              <w:rPr>
                <w:rFonts w:ascii="Calibri" w:hAnsi="Calibri"/>
                <w:sz w:val="22"/>
                <w:szCs w:val="22"/>
              </w:rPr>
              <w:t>dbiera komunikaty pisane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Pr="008A6437">
              <w:rPr>
                <w:rFonts w:ascii="Calibri" w:hAnsi="Calibri"/>
                <w:sz w:val="22"/>
                <w:szCs w:val="22"/>
              </w:rPr>
              <w:t>worząc wypowiedzi, dąży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do precyzyjnego wysławiania się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8A6437">
              <w:rPr>
                <w:rFonts w:ascii="Calibri" w:hAnsi="Calibri"/>
                <w:sz w:val="22"/>
                <w:szCs w:val="22"/>
              </w:rPr>
              <w:t>rzekształca zdania w równoważniki zdania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1880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III.2.3.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III.2</w:t>
            </w:r>
          </w:p>
        </w:tc>
      </w:tr>
      <w:tr w:rsidR="00790847" w:rsidRPr="008A6437" w:rsidTr="00371808">
        <w:trPr>
          <w:trHeight w:val="858"/>
          <w:jc w:val="center"/>
        </w:trPr>
        <w:tc>
          <w:tcPr>
            <w:tcW w:w="1849" w:type="dxa"/>
          </w:tcPr>
          <w:p w:rsidR="00790847" w:rsidRPr="008A6437" w:rsidRDefault="00790847" w:rsidP="00666078"/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924" w:type="dxa"/>
            <w:gridSpan w:val="2"/>
          </w:tcPr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8A6437">
              <w:rPr>
                <w:rFonts w:ascii="Calibri" w:hAnsi="Calibri"/>
                <w:sz w:val="22"/>
                <w:szCs w:val="22"/>
              </w:rPr>
              <w:t>dbiera komunikaty pisane, w tym nadawane za pomocą środków wizualnych – rozróżnia informacje przekazane werbalnie oraz zawarte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w obrazie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8A6437">
              <w:rPr>
                <w:rFonts w:ascii="Calibri" w:hAnsi="Calibri"/>
                <w:sz w:val="22"/>
                <w:szCs w:val="22"/>
              </w:rPr>
              <w:t>orządkuje informacje w zależności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od ich funkcji w przekazie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1880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I.1.3.</w:t>
            </w:r>
          </w:p>
        </w:tc>
      </w:tr>
      <w:tr w:rsidR="00790847" w:rsidRPr="008A6437" w:rsidTr="00371808">
        <w:trPr>
          <w:trHeight w:val="858"/>
          <w:jc w:val="center"/>
        </w:trPr>
        <w:tc>
          <w:tcPr>
            <w:tcW w:w="1849" w:type="dxa"/>
          </w:tcPr>
          <w:p w:rsidR="00790847" w:rsidRPr="008A6437" w:rsidRDefault="00790847" w:rsidP="00666078"/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924" w:type="dxa"/>
            <w:gridSpan w:val="2"/>
          </w:tcPr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8A6437">
              <w:rPr>
                <w:rFonts w:ascii="Calibri" w:hAnsi="Calibri"/>
                <w:sz w:val="22"/>
                <w:szCs w:val="22"/>
              </w:rPr>
              <w:t>dbiera komunikaty pisane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ozpoznaje intencje wypowiedzi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ozpoznaje wypowiedź argumentacyjną, wskazuje tezę, argumenty i wnioski.</w:t>
            </w:r>
          </w:p>
        </w:tc>
        <w:tc>
          <w:tcPr>
            <w:tcW w:w="1880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I.1.1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I.1.7.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I.1.9.</w:t>
            </w:r>
          </w:p>
        </w:tc>
      </w:tr>
      <w:tr w:rsidR="00790847" w:rsidRPr="008A6437" w:rsidTr="00371808">
        <w:trPr>
          <w:trHeight w:val="493"/>
          <w:jc w:val="center"/>
        </w:trPr>
        <w:tc>
          <w:tcPr>
            <w:tcW w:w="1849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A6437">
              <w:rPr>
                <w:rFonts w:ascii="Calibri" w:hAnsi="Calibri"/>
                <w:b/>
                <w:sz w:val="22"/>
                <w:szCs w:val="22"/>
              </w:rPr>
              <w:t>TEST</w:t>
            </w:r>
          </w:p>
        </w:tc>
        <w:tc>
          <w:tcPr>
            <w:tcW w:w="7507" w:type="dxa"/>
            <w:gridSpan w:val="4"/>
            <w:vAlign w:val="center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sz w:val="22"/>
                <w:szCs w:val="22"/>
              </w:rPr>
              <w:t xml:space="preserve">Załącznik nr 1 </w:t>
            </w:r>
          </w:p>
        </w:tc>
      </w:tr>
      <w:tr w:rsidR="00790847" w:rsidRPr="008A6437" w:rsidTr="00371808">
        <w:trPr>
          <w:trHeight w:val="88"/>
          <w:jc w:val="center"/>
        </w:trPr>
        <w:tc>
          <w:tcPr>
            <w:tcW w:w="1849" w:type="dxa"/>
            <w:vMerge w:val="restart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A6437">
              <w:rPr>
                <w:rFonts w:ascii="Calibri" w:hAnsi="Calibri"/>
                <w:b/>
                <w:bCs/>
                <w:sz w:val="22"/>
                <w:szCs w:val="22"/>
              </w:rPr>
              <w:t>WZORCE ROZWIAZANIA ZADAŃ</w:t>
            </w:r>
          </w:p>
        </w:tc>
        <w:tc>
          <w:tcPr>
            <w:tcW w:w="703" w:type="dxa"/>
            <w:vAlign w:val="center"/>
          </w:tcPr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NR ZAD.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0" w:type="dxa"/>
            <w:vAlign w:val="center"/>
          </w:tcPr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OCZEKIWANE ROZWIĄZANIE ZADANIA</w:t>
            </w:r>
          </w:p>
        </w:tc>
        <w:tc>
          <w:tcPr>
            <w:tcW w:w="2014" w:type="dxa"/>
            <w:gridSpan w:val="2"/>
            <w:vAlign w:val="center"/>
          </w:tcPr>
          <w:p w:rsidR="00790847" w:rsidRPr="008A6437" w:rsidRDefault="00790847" w:rsidP="00666078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LICZBA PUNKTÓW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I ZASADY ICH PRZYDZIELANIA</w:t>
            </w:r>
          </w:p>
        </w:tc>
      </w:tr>
      <w:tr w:rsidR="00790847" w:rsidRPr="008A6437" w:rsidTr="00371808">
        <w:trPr>
          <w:trHeight w:val="1545"/>
          <w:jc w:val="center"/>
        </w:trPr>
        <w:tc>
          <w:tcPr>
            <w:tcW w:w="1849" w:type="dxa"/>
            <w:vMerge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4790" w:type="dxa"/>
          </w:tcPr>
          <w:p w:rsidR="0079084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Ogólna zasada poprawności, np.: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Bez reklamy nie byłoby dzisiaj sprzedaży.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To właśnie reklama sprawia, że produkty stają się popularne i ludzie chętniej po nie sięgają.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Wypowiedź ucznia powinna zawierać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np.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informację o fakcie, że reklama jest siłą napędową współczesnego handlu, ma szeroki zasięg i wielką siłę oddziaływania. </w:t>
            </w:r>
          </w:p>
        </w:tc>
        <w:tc>
          <w:tcPr>
            <w:tcW w:w="2014" w:type="dxa"/>
            <w:gridSpan w:val="2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(2p.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0p.)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2p.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pisze dwuzdaniową wypowiedź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na temat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 xml:space="preserve">1p. </w:t>
            </w:r>
            <w:r w:rsidRPr="008A6437">
              <w:rPr>
                <w:rFonts w:ascii="Calibri" w:hAnsi="Calibri"/>
                <w:sz w:val="22"/>
                <w:szCs w:val="22"/>
              </w:rPr>
              <w:t>– uczeń pisze jednozdaniową wypowiedź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na temat lub wypowiedź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na temat, ale zapisan</w:t>
            </w:r>
            <w:r>
              <w:rPr>
                <w:rFonts w:ascii="Calibri" w:hAnsi="Calibri"/>
                <w:sz w:val="22"/>
                <w:szCs w:val="22"/>
              </w:rPr>
              <w:t>ą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za pomocą innego wypowiedzenia niż zdanie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8A643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0p.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wypowiedź nie na temat 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790847" w:rsidRPr="008A6437" w:rsidTr="00371808">
        <w:trPr>
          <w:trHeight w:val="86"/>
          <w:jc w:val="center"/>
        </w:trPr>
        <w:tc>
          <w:tcPr>
            <w:tcW w:w="1849" w:type="dxa"/>
            <w:vMerge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790" w:type="dxa"/>
          </w:tcPr>
          <w:p w:rsidR="0079084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Ogólna zasada poprawności, np.: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element – grafika/kolorystyka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sposób oddziaływania – </w:t>
            </w:r>
            <w:r>
              <w:rPr>
                <w:rFonts w:ascii="Calibri" w:hAnsi="Calibri"/>
                <w:sz w:val="22"/>
                <w:szCs w:val="22"/>
              </w:rPr>
              <w:t>j</w:t>
            </w:r>
            <w:r w:rsidRPr="008A6437">
              <w:rPr>
                <w:rFonts w:ascii="Calibri" w:hAnsi="Calibri"/>
                <w:sz w:val="22"/>
                <w:szCs w:val="22"/>
              </w:rPr>
              <w:t>askrawe kolory tła przyciągają uwagę dodatkowo, kontrastując z bielą postaci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element – język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sposób oddziaływania – 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8A6437">
              <w:rPr>
                <w:rFonts w:ascii="Calibri" w:hAnsi="Calibri"/>
                <w:sz w:val="22"/>
                <w:szCs w:val="22"/>
              </w:rPr>
              <w:t>życie określeń budzących pozytywne skojarzenia (</w:t>
            </w:r>
            <w:r w:rsidRPr="008A6437">
              <w:rPr>
                <w:rFonts w:ascii="Calibri" w:hAnsi="Calibri"/>
                <w:i/>
                <w:sz w:val="22"/>
                <w:szCs w:val="22"/>
              </w:rPr>
              <w:t>idealna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A6437">
              <w:rPr>
                <w:rFonts w:ascii="Calibri" w:hAnsi="Calibri"/>
                <w:i/>
                <w:sz w:val="22"/>
                <w:szCs w:val="22"/>
              </w:rPr>
              <w:t>wyjątkowa</w:t>
            </w:r>
            <w:r w:rsidRPr="008A6437">
              <w:rPr>
                <w:rFonts w:ascii="Calibri" w:hAnsi="Calibri"/>
                <w:sz w:val="22"/>
                <w:szCs w:val="22"/>
              </w:rPr>
              <w:t>)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(4p.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0p.)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Za każdy poprawnie uzupełniony wers –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0847" w:rsidRPr="008A6437" w:rsidTr="00371808">
        <w:trPr>
          <w:trHeight w:val="86"/>
          <w:jc w:val="center"/>
        </w:trPr>
        <w:tc>
          <w:tcPr>
            <w:tcW w:w="1849" w:type="dxa"/>
            <w:vMerge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790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eklama nr 1- nakłaniająca</w:t>
            </w:r>
          </w:p>
          <w:p w:rsidR="0079084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Uzasadnienie: użycie czasownika w trybie rozkazującym (formy  apelatywnej).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eklama nr 2 – zachwalająca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Uzasadnienie: Użycie wyrazów budzących pozytywne skojarzenia (</w:t>
            </w:r>
            <w:r w:rsidRPr="008A6437">
              <w:rPr>
                <w:rFonts w:ascii="Calibri" w:hAnsi="Calibri"/>
                <w:i/>
                <w:sz w:val="22"/>
                <w:szCs w:val="22"/>
              </w:rPr>
              <w:t>pysznie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8A6437">
              <w:rPr>
                <w:rFonts w:ascii="Calibri" w:hAnsi="Calibri"/>
                <w:i/>
                <w:sz w:val="22"/>
                <w:szCs w:val="22"/>
              </w:rPr>
              <w:t>zdrowe</w:t>
            </w:r>
            <w:r w:rsidRPr="008A6437">
              <w:rPr>
                <w:rFonts w:ascii="Calibri" w:hAnsi="Calibri"/>
                <w:sz w:val="22"/>
                <w:szCs w:val="22"/>
              </w:rPr>
              <w:t>) 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Lub: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Pr="008A6437">
              <w:rPr>
                <w:rFonts w:ascii="Calibri" w:hAnsi="Calibri"/>
                <w:sz w:val="22"/>
                <w:szCs w:val="22"/>
              </w:rPr>
              <w:t>eklama nr 2 – poetycka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Uzasadnienie: gra słów - </w:t>
            </w:r>
            <w:r w:rsidRPr="008A6437">
              <w:rPr>
                <w:rFonts w:ascii="Calibri" w:hAnsi="Calibri"/>
                <w:i/>
                <w:sz w:val="22"/>
                <w:szCs w:val="22"/>
              </w:rPr>
              <w:t>Coś się pysznie kroi. Złowiłem zdrowy kąsek.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gridSpan w:val="2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(4p.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0p.)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Za każdą poprawnie podaną informację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–1p.</w:t>
            </w:r>
          </w:p>
        </w:tc>
      </w:tr>
      <w:tr w:rsidR="00790847" w:rsidRPr="008A6437" w:rsidTr="00371808">
        <w:trPr>
          <w:trHeight w:val="86"/>
          <w:jc w:val="center"/>
        </w:trPr>
        <w:tc>
          <w:tcPr>
            <w:tcW w:w="1849" w:type="dxa"/>
            <w:vMerge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790" w:type="dxa"/>
          </w:tcPr>
          <w:p w:rsidR="0079084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Ogólna zasada poprawności, np.: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Astor – esencja kobiecości!/ Esencja kobiecości!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Astor stanowi esencję kobiecości!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(2p. – 0p.)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2p.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- uczeń </w:t>
            </w:r>
            <w:r w:rsidRPr="008A6437">
              <w:rPr>
                <w:rFonts w:ascii="Calibri" w:hAnsi="Calibri"/>
                <w:b/>
                <w:sz w:val="22"/>
                <w:szCs w:val="22"/>
              </w:rPr>
              <w:t>skraca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wypowiedź, stosując równoważnik zdania(ostatecznie krótkie zdanie pojedyncze)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i wybierając słowa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o charakterze sloganu.</w:t>
            </w:r>
          </w:p>
          <w:p w:rsidR="0079084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skraca wypowiedź, która jednak nie ma wyraźnych cech sloganu lub uczeń tworzy zbyt długi slogan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0847" w:rsidRPr="008A6437" w:rsidTr="00371808">
        <w:trPr>
          <w:trHeight w:val="86"/>
          <w:jc w:val="center"/>
        </w:trPr>
        <w:tc>
          <w:tcPr>
            <w:tcW w:w="1849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790" w:type="dxa"/>
          </w:tcPr>
          <w:p w:rsidR="0079084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Ogólna zasada poprawności, np.: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nadawca – twórca reklamy, producent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odbiorcy: dzieci (kolorowa, bajkowa ilustracja), rodzice (komunikat do nich skierowany , np.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A6437">
              <w:rPr>
                <w:rFonts w:ascii="Calibri" w:hAnsi="Calibri"/>
                <w:i/>
                <w:sz w:val="22"/>
                <w:szCs w:val="22"/>
              </w:rPr>
              <w:t>Baw się z dzieckiem(…).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gridSpan w:val="2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(3p. – 0p.)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- uczeń poprawnie określa nadawcę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trafnie wskazuje odbiorcę lub odbiorców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uzasadnia wybór odbiorcy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790847" w:rsidRPr="008A6437" w:rsidTr="00371808">
        <w:trPr>
          <w:trHeight w:val="86"/>
          <w:jc w:val="center"/>
        </w:trPr>
        <w:tc>
          <w:tcPr>
            <w:tcW w:w="1849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</w:tcPr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790" w:type="dxa"/>
          </w:tcPr>
          <w:p w:rsidR="0079084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Ogólna zasada poprawności, np.: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2"/>
              </w:numPr>
              <w:spacing w:line="276" w:lineRule="auto"/>
              <w:ind w:left="29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Autorka negatywnie ocenia zjawisko manipulacji./ Autorka odnosi się do manipulacji z dezaprobatą.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2"/>
              </w:numPr>
              <w:spacing w:line="276" w:lineRule="auto"/>
              <w:ind w:left="293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>Współczesny człowiek może bronić się przed manipulacją, poznając jej działanie.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8A6437" w:rsidRDefault="00790847" w:rsidP="00666078">
            <w:pPr>
              <w:pStyle w:val="Zawartotabeli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790847" w:rsidRPr="005D4A79" w:rsidRDefault="00790847" w:rsidP="00666078">
            <w:pPr>
              <w:pStyle w:val="Zawartotabeli"/>
              <w:numPr>
                <w:ilvl w:val="0"/>
                <w:numId w:val="2"/>
              </w:numPr>
              <w:spacing w:line="276" w:lineRule="auto"/>
              <w:ind w:left="293" w:hanging="283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D4A79">
              <w:rPr>
                <w:rFonts w:ascii="Calibri" w:hAnsi="Calibri"/>
                <w:sz w:val="22"/>
                <w:szCs w:val="22"/>
              </w:rPr>
              <w:t>Teza:</w:t>
            </w:r>
            <w:r w:rsidRPr="005D4A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B0799B">
              <w:rPr>
                <w:rFonts w:ascii="Calibri" w:hAnsi="Calibri"/>
                <w:bCs/>
                <w:i/>
                <w:sz w:val="22"/>
                <w:szCs w:val="22"/>
              </w:rPr>
              <w:t xml:space="preserve">Jednym z zagrożeń, które </w:t>
            </w:r>
            <w:r w:rsidRPr="005D4A79">
              <w:rPr>
                <w:rFonts w:ascii="Calibri" w:hAnsi="Calibri"/>
                <w:bCs/>
                <w:i/>
                <w:sz w:val="22"/>
                <w:szCs w:val="22"/>
              </w:rPr>
              <w:t>czyhają</w:t>
            </w:r>
            <w:r w:rsidRPr="005D4A79">
              <w:rPr>
                <w:rFonts w:ascii="Calibri" w:hAnsi="Calibri"/>
                <w:bCs/>
                <w:i/>
                <w:sz w:val="22"/>
                <w:szCs w:val="22"/>
              </w:rPr>
              <w:br/>
              <w:t>na człowieka we współczesnym świecie, jest zjawisko manipulacji.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293"/>
              <w:jc w:val="both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Cs/>
                <w:sz w:val="22"/>
                <w:szCs w:val="22"/>
              </w:rPr>
              <w:t>Argument:</w:t>
            </w:r>
            <w:r w:rsidRPr="005D4A79"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Pr="00B0799B">
              <w:rPr>
                <w:rFonts w:ascii="Calibri" w:hAnsi="Calibri"/>
                <w:bCs/>
                <w:i/>
                <w:sz w:val="22"/>
                <w:szCs w:val="22"/>
              </w:rPr>
              <w:t>Stanowi ono niebezp</w:t>
            </w:r>
            <w:r w:rsidRPr="005D4A79">
              <w:rPr>
                <w:rFonts w:ascii="Calibri" w:hAnsi="Calibri"/>
                <w:bCs/>
                <w:i/>
                <w:sz w:val="22"/>
                <w:szCs w:val="22"/>
              </w:rPr>
              <w:t>ieczeństwo, ponieważ traktuje ludzi w sposób przedmiotowy, stosując podstęp, wpływa na ich myśli, zachowania i decyzje.</w:t>
            </w:r>
          </w:p>
        </w:tc>
        <w:tc>
          <w:tcPr>
            <w:tcW w:w="2014" w:type="dxa"/>
            <w:gridSpan w:val="2"/>
          </w:tcPr>
          <w:p w:rsidR="00790847" w:rsidRPr="005D4A79" w:rsidRDefault="00790847" w:rsidP="00666078">
            <w:pPr>
              <w:pStyle w:val="Zawartotabeli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(6p. – 0p.)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3"/>
              </w:numPr>
              <w:spacing w:line="276" w:lineRule="auto"/>
              <w:ind w:left="317" w:hanging="317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poprawnie określa stosunek autorki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do zjawiska manipulacji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17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tworzy wypowiedź jednozdaniową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3"/>
              </w:numPr>
              <w:spacing w:line="276" w:lineRule="auto"/>
              <w:ind w:left="317" w:hanging="317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właściwie odpowiada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na pytanie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spacing w:line="276" w:lineRule="auto"/>
              <w:ind w:left="317"/>
              <w:rPr>
                <w:rFonts w:ascii="Calibri" w:hAnsi="Calibri"/>
                <w:sz w:val="22"/>
                <w:szCs w:val="22"/>
              </w:rPr>
            </w:pP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– uczeń nie cytuje, odpowiada własnymi słowami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790847" w:rsidRPr="008A6437" w:rsidRDefault="00790847" w:rsidP="00666078">
            <w:pPr>
              <w:pStyle w:val="Zawartotabeli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A6437">
              <w:rPr>
                <w:rFonts w:ascii="Calibri" w:hAnsi="Calibri"/>
                <w:sz w:val="22"/>
                <w:szCs w:val="22"/>
              </w:rPr>
              <w:t xml:space="preserve">Po </w:t>
            </w:r>
            <w:r w:rsidRPr="005D4A79">
              <w:rPr>
                <w:rFonts w:ascii="Calibri" w:hAnsi="Calibri"/>
                <w:b/>
                <w:sz w:val="22"/>
                <w:szCs w:val="22"/>
              </w:rPr>
              <w:t>1p.</w:t>
            </w:r>
            <w:r w:rsidRPr="008A6437">
              <w:rPr>
                <w:rFonts w:ascii="Calibri" w:hAnsi="Calibri"/>
                <w:sz w:val="22"/>
                <w:szCs w:val="22"/>
              </w:rPr>
              <w:t xml:space="preserve"> za poprawne  wskazanie tezy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8A6437">
              <w:rPr>
                <w:rFonts w:ascii="Calibri" w:hAnsi="Calibri"/>
                <w:sz w:val="22"/>
                <w:szCs w:val="22"/>
              </w:rPr>
              <w:t>i argumentu.</w:t>
            </w:r>
          </w:p>
        </w:tc>
      </w:tr>
    </w:tbl>
    <w:p w:rsidR="00790847" w:rsidRPr="00D5794E" w:rsidRDefault="00790847" w:rsidP="00FF2AB2"/>
    <w:p w:rsidR="00790847" w:rsidRPr="00D7659A" w:rsidRDefault="00790847" w:rsidP="00D7659A"/>
    <w:sectPr w:rsidR="00790847" w:rsidRPr="00D7659A" w:rsidSect="00C6779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9" w:footer="709" w:gutter="0"/>
      <w:cols w:space="708"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847" w:rsidRDefault="00790847" w:rsidP="007734E9">
      <w:pPr>
        <w:spacing w:after="0" w:line="240" w:lineRule="auto"/>
      </w:pPr>
      <w:r>
        <w:separator/>
      </w:r>
    </w:p>
  </w:endnote>
  <w:endnote w:type="continuationSeparator" w:id="0">
    <w:p w:rsidR="00790847" w:rsidRDefault="00790847" w:rsidP="0077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7" w:rsidRPr="00F11512" w:rsidRDefault="00790847" w:rsidP="00C67799">
    <w:pPr>
      <w:spacing w:before="100" w:beforeAutospacing="1" w:after="100" w:afterAutospacing="1"/>
      <w:rPr>
        <w:rFonts w:ascii="Arial" w:hAnsi="Arial" w:cs="Arial"/>
        <w:sz w:val="16"/>
        <w:szCs w:val="16"/>
      </w:rPr>
    </w:pPr>
    <w:r w:rsidRPr="00727094">
      <w:rPr>
        <w:rFonts w:ascii="Arial" w:hAnsi="Arial" w:cs="Arial"/>
        <w:b/>
        <w:bCs/>
        <w:sz w:val="16"/>
        <w:szCs w:val="16"/>
      </w:rPr>
      <w:t xml:space="preserve">Instytut Badań Edukacyjnych </w:t>
    </w:r>
    <w:r w:rsidRPr="00727094">
      <w:rPr>
        <w:rFonts w:ascii="Arial" w:hAnsi="Arial" w:cs="Arial"/>
        <w:sz w:val="16"/>
        <w:szCs w:val="16"/>
      </w:rPr>
      <w:t>instytut badawczy</w:t>
    </w:r>
    <w:r w:rsidRPr="00727094">
      <w:rPr>
        <w:rFonts w:ascii="Arial" w:hAnsi="Arial" w:cs="Arial"/>
        <w:sz w:val="16"/>
        <w:szCs w:val="16"/>
      </w:rPr>
      <w:br/>
      <w:t xml:space="preserve">ul. Górczewska 8, 01-180 Warszawa | tel.: +48 22 241 71 00 | ibe@ibe.edu.pl | </w:t>
    </w:r>
    <w:r w:rsidRPr="00727094">
      <w:rPr>
        <w:rFonts w:ascii="Arial" w:hAnsi="Arial" w:cs="Arial"/>
        <w:color w:val="F6891F"/>
        <w:sz w:val="16"/>
        <w:szCs w:val="16"/>
      </w:rPr>
      <w:t>www.ibe.edu.pl</w:t>
    </w:r>
    <w:r w:rsidRPr="00727094">
      <w:rPr>
        <w:rFonts w:ascii="Arial" w:hAnsi="Arial" w:cs="Arial"/>
        <w:sz w:val="16"/>
        <w:szCs w:val="16"/>
      </w:rPr>
      <w:br/>
      <w:t>NIP 525-000-86-95 | Regon 000178235 | KRS 0000113990 Sąd Rejonowy dla m.st. Warszawy w Warsz</w:t>
    </w:r>
    <w:r>
      <w:rPr>
        <w:rFonts w:ascii="Arial" w:hAnsi="Arial" w:cs="Arial"/>
        <w:sz w:val="16"/>
        <w:szCs w:val="16"/>
      </w:rPr>
      <w:t>awi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7" w:rsidRPr="00F11512" w:rsidRDefault="00790847" w:rsidP="00C67799">
    <w:pPr>
      <w:spacing w:before="100" w:beforeAutospacing="1" w:after="100" w:afterAutospacing="1"/>
      <w:rPr>
        <w:rFonts w:ascii="Arial" w:hAnsi="Arial" w:cs="Arial"/>
        <w:sz w:val="16"/>
        <w:szCs w:val="16"/>
      </w:rPr>
    </w:pPr>
    <w:r w:rsidRPr="00727094">
      <w:rPr>
        <w:rFonts w:ascii="Arial" w:hAnsi="Arial" w:cs="Arial"/>
        <w:b/>
        <w:bCs/>
        <w:sz w:val="16"/>
        <w:szCs w:val="16"/>
      </w:rPr>
      <w:t xml:space="preserve">Instytut Badań Edukacyjnych </w:t>
    </w:r>
    <w:r w:rsidRPr="00727094">
      <w:rPr>
        <w:rFonts w:ascii="Arial" w:hAnsi="Arial" w:cs="Arial"/>
        <w:sz w:val="16"/>
        <w:szCs w:val="16"/>
      </w:rPr>
      <w:t>instytut badawczy</w:t>
    </w:r>
    <w:r w:rsidRPr="00727094">
      <w:rPr>
        <w:rFonts w:ascii="Arial" w:hAnsi="Arial" w:cs="Arial"/>
        <w:sz w:val="16"/>
        <w:szCs w:val="16"/>
      </w:rPr>
      <w:br/>
      <w:t xml:space="preserve">ul. Górczewska 8, 01-180 Warszawa | tel.: +48 22 241 71 00 | ibe@ibe.edu.pl | </w:t>
    </w:r>
    <w:r w:rsidRPr="00727094">
      <w:rPr>
        <w:rFonts w:ascii="Arial" w:hAnsi="Arial" w:cs="Arial"/>
        <w:color w:val="F6891F"/>
        <w:sz w:val="16"/>
        <w:szCs w:val="16"/>
      </w:rPr>
      <w:t>www.ibe.edu.pl</w:t>
    </w:r>
    <w:r w:rsidRPr="00727094">
      <w:rPr>
        <w:rFonts w:ascii="Arial" w:hAnsi="Arial" w:cs="Arial"/>
        <w:sz w:val="16"/>
        <w:szCs w:val="16"/>
      </w:rPr>
      <w:br/>
      <w:t>NIP 525-000-86-95 | Regon 000178235 | KRS 0000113990 Sąd Rejonowy dla m.st. Warszawy w Warsz</w:t>
    </w:r>
    <w:r>
      <w:rPr>
        <w:rFonts w:ascii="Arial" w:hAnsi="Arial" w:cs="Arial"/>
        <w:sz w:val="16"/>
        <w:szCs w:val="16"/>
      </w:rPr>
      <w:t>awie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847" w:rsidRDefault="00790847" w:rsidP="007734E9">
      <w:pPr>
        <w:spacing w:after="0" w:line="240" w:lineRule="auto"/>
      </w:pPr>
      <w:r>
        <w:separator/>
      </w:r>
    </w:p>
  </w:footnote>
  <w:footnote w:type="continuationSeparator" w:id="0">
    <w:p w:rsidR="00790847" w:rsidRDefault="00790847" w:rsidP="0077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7" w:rsidRDefault="00790847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8.25pt;margin-top:12pt;width:595.15pt;height:841.25pt;z-index:-251656192;visibility:visible;mso-wrap-distance-left:9.05pt;mso-wrap-distance-right:9.05pt;mso-position-horizontal-relative:page;mso-position-vertical-relative:page" filled="t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7" w:rsidRDefault="00790847">
    <w:pPr>
      <w:pStyle w:val="Header"/>
      <w:tabs>
        <w:tab w:val="clear" w:pos="4536"/>
        <w:tab w:val="clear" w:pos="9072"/>
      </w:tabs>
    </w:pPr>
    <w:r>
      <w:rPr>
        <w:color w:val="333333"/>
        <w:sz w:val="16"/>
      </w:rPr>
      <w:t>.</w: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style="position:absolute;margin-left:-19.85pt;margin-top:0;width:595.15pt;height:841.35pt;z-index:-251654144;visibility:visible;mso-wrap-distance-left:9.05pt;mso-wrap-distance-right:9.05pt;mso-position-horizontal-relative:page;mso-position-vertical-relative:page" filled="t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1B9"/>
    <w:multiLevelType w:val="hybridMultilevel"/>
    <w:tmpl w:val="8DDE29E0"/>
    <w:lvl w:ilvl="0" w:tplc="0415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24383B15"/>
    <w:multiLevelType w:val="hybridMultilevel"/>
    <w:tmpl w:val="C5AAB9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04F2D"/>
    <w:multiLevelType w:val="hybridMultilevel"/>
    <w:tmpl w:val="A2042122"/>
    <w:lvl w:ilvl="0" w:tplc="68DC4B0C">
      <w:start w:val="1"/>
      <w:numFmt w:val="upperLetter"/>
      <w:lvlText w:val="%1."/>
      <w:lvlJc w:val="left"/>
      <w:pPr>
        <w:ind w:left="717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3FA3210A"/>
    <w:multiLevelType w:val="hybridMultilevel"/>
    <w:tmpl w:val="4D9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0839A6"/>
    <w:multiLevelType w:val="hybridMultilevel"/>
    <w:tmpl w:val="EAD0CDFC"/>
    <w:lvl w:ilvl="0" w:tplc="F2C4F51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40C511CA"/>
    <w:multiLevelType w:val="hybridMultilevel"/>
    <w:tmpl w:val="937C8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7D3372"/>
    <w:multiLevelType w:val="hybridMultilevel"/>
    <w:tmpl w:val="76D68EBC"/>
    <w:lvl w:ilvl="0" w:tplc="57C0F7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A57030"/>
    <w:multiLevelType w:val="hybridMultilevel"/>
    <w:tmpl w:val="FFCCBA0E"/>
    <w:lvl w:ilvl="0" w:tplc="40F096A6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61954C66"/>
    <w:multiLevelType w:val="hybridMultilevel"/>
    <w:tmpl w:val="13D07CAE"/>
    <w:lvl w:ilvl="0" w:tplc="BF9A239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1839FE"/>
    <w:multiLevelType w:val="hybridMultilevel"/>
    <w:tmpl w:val="17DEE54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799"/>
    <w:rsid w:val="000D09D9"/>
    <w:rsid w:val="001278E5"/>
    <w:rsid w:val="001B380F"/>
    <w:rsid w:val="002D3709"/>
    <w:rsid w:val="00371808"/>
    <w:rsid w:val="0048034B"/>
    <w:rsid w:val="00491922"/>
    <w:rsid w:val="00566228"/>
    <w:rsid w:val="005A6CE9"/>
    <w:rsid w:val="005D4A79"/>
    <w:rsid w:val="006110E7"/>
    <w:rsid w:val="00666078"/>
    <w:rsid w:val="00727094"/>
    <w:rsid w:val="007734E9"/>
    <w:rsid w:val="00790847"/>
    <w:rsid w:val="008A6437"/>
    <w:rsid w:val="008C2336"/>
    <w:rsid w:val="00A33FC9"/>
    <w:rsid w:val="00A614E3"/>
    <w:rsid w:val="00A94226"/>
    <w:rsid w:val="00B0799B"/>
    <w:rsid w:val="00B51709"/>
    <w:rsid w:val="00BD0190"/>
    <w:rsid w:val="00BD5FC8"/>
    <w:rsid w:val="00BD746B"/>
    <w:rsid w:val="00C4772F"/>
    <w:rsid w:val="00C67799"/>
    <w:rsid w:val="00C84351"/>
    <w:rsid w:val="00C90866"/>
    <w:rsid w:val="00D47AB3"/>
    <w:rsid w:val="00D5794E"/>
    <w:rsid w:val="00D7659A"/>
    <w:rsid w:val="00D8389A"/>
    <w:rsid w:val="00D925FB"/>
    <w:rsid w:val="00DE48DA"/>
    <w:rsid w:val="00F11512"/>
    <w:rsid w:val="00FF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99"/>
    <w:pPr>
      <w:suppressAutoHyphens/>
      <w:spacing w:after="200" w:line="276" w:lineRule="auto"/>
    </w:pPr>
    <w:rPr>
      <w:rFonts w:cs="Calibri"/>
      <w:kern w:val="1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77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6779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7799"/>
    <w:rPr>
      <w:rFonts w:ascii="Calibri" w:eastAsia="Times New Roman" w:hAnsi="Calibri" w:cs="Calibri"/>
      <w:kern w:val="1"/>
      <w:lang w:eastAsia="ar-SA" w:bidi="ar-SA"/>
    </w:rPr>
  </w:style>
  <w:style w:type="paragraph" w:customStyle="1" w:styleId="Bullet">
    <w:name w:val="Bullet"/>
    <w:basedOn w:val="Normal"/>
    <w:uiPriority w:val="99"/>
    <w:rsid w:val="00C67799"/>
    <w:pPr>
      <w:spacing w:before="60" w:after="60" w:line="340" w:lineRule="exact"/>
      <w:jc w:val="both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8C23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2336"/>
    <w:rPr>
      <w:rFonts w:cs="Calibri"/>
      <w:kern w:val="1"/>
      <w:sz w:val="22"/>
      <w:szCs w:val="22"/>
      <w:lang w:eastAsia="ar-SA" w:bidi="ar-SA"/>
    </w:rPr>
  </w:style>
  <w:style w:type="paragraph" w:customStyle="1" w:styleId="Zawartotabeli">
    <w:name w:val="Zawartość tabeli"/>
    <w:basedOn w:val="Normal"/>
    <w:uiPriority w:val="99"/>
    <w:rsid w:val="00FF2AB2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F2AB2"/>
    <w:pPr>
      <w:suppressAutoHyphens w:val="0"/>
      <w:ind w:left="720"/>
      <w:contextualSpacing/>
    </w:pPr>
    <w:rPr>
      <w:rFonts w:cs="Times New Roman"/>
      <w:kern w:val="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F2A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AB2"/>
    <w:rPr>
      <w:rFonts w:ascii="Times New Roman" w:eastAsia="Times New Roman" w:hAnsi="Times New Roman" w:cs="Times New Roman"/>
      <w:kern w:val="1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F2AB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4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7AB3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623</Words>
  <Characters>3740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FORMATYWNY</dc:title>
  <dc:subject/>
  <dc:creator>Wiola</dc:creator>
  <cp:keywords/>
  <dc:description/>
  <cp:lastModifiedBy>xxx</cp:lastModifiedBy>
  <cp:revision>2</cp:revision>
  <cp:lastPrinted>2015-01-28T10:46:00Z</cp:lastPrinted>
  <dcterms:created xsi:type="dcterms:W3CDTF">2015-05-07T20:49:00Z</dcterms:created>
  <dcterms:modified xsi:type="dcterms:W3CDTF">2015-05-07T20:49:00Z</dcterms:modified>
</cp:coreProperties>
</file>